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4fde7a19867ba133ceb1e6db4115b66c87bf2e"/>
    <w:p>
      <w:pPr>
        <w:pStyle w:val="Heading3"/>
      </w:pPr>
      <w:r>
        <w:t xml:space="preserve">Возможности применения патентной системы налогообложения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drawing>
          <wp:inline>
            <wp:extent cx="5334000" cy="3026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131/3ixb6mvg80gbyqx9kmgako47ni85d752/Xerox-Scan_08022023141911-_2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6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6912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d83/9hjywu83cbghn9th05ilh7ae1ss5225c/Xerox-_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91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http://tushino-juzhnoe.mos.ru/consumer-market-and-services/novost/detail/11454500.html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consumer-market-and-services/novost/detail/11454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consumer-market-and-services/novost/detail/11454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2024-03-26T12:17:48Z</dcterms:created>
  <dcterms:modified xsi:type="dcterms:W3CDTF">2024-03-26T12:17:48Z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