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103db64dfff8a542d27314426a8eebf085e80"/>
    <w:p>
      <w:pPr>
        <w:pStyle w:val="Heading3"/>
      </w:pPr>
      <w:r>
        <w:t xml:space="preserve">Роспотребнадзор информирует о внесении изменений в технический регламент Евразийского экономического союза "О безопасности мяса птицы и продукции его переработки" (ТР ЕАЭС 051/2021)".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СЗАО г. Москвы информирует, что</w:t>
      </w:r>
      <w:r>
        <w:t xml:space="preserve"> </w:t>
      </w:r>
      <w:hyperlink r:id="rId20">
        <w:r>
          <w:rPr>
            <w:rStyle w:val="Hyperlink"/>
          </w:rPr>
          <w:t xml:space="preserve">Решение</w:t>
        </w:r>
      </w:hyperlink>
      <w:r>
        <w:t xml:space="preserve">м Совета Евразийской экономической комиссии от 15.02.2023 N 23 скорректированы гигиенические</w:t>
      </w:r>
      <w:r>
        <w:t xml:space="preserve"> </w:t>
      </w:r>
      <w:hyperlink r:id="rId21">
        <w:r>
          <w:rPr>
            <w:rStyle w:val="Hyperlink"/>
          </w:rPr>
          <w:t xml:space="preserve">требования</w:t>
        </w:r>
      </w:hyperlink>
      <w:r>
        <w:t xml:space="preserve"> </w:t>
      </w:r>
      <w:r>
        <w:t xml:space="preserve">безопасности продуктов убоя птицы и продукции из мяса птицы для детского питания.</w:t>
      </w:r>
    </w:p>
    <w:p>
      <w:pPr>
        <w:pStyle w:val="BodyText"/>
      </w:pPr>
      <w:r>
        <w:t xml:space="preserve">Допустимое содержание нитритов в колбасных изделиях для питания детей старше 3 лет не должно превышать 30 мг/кг.</w:t>
      </w:r>
    </w:p>
    <w:p>
      <w:pPr>
        <w:pStyle w:val="BodyText"/>
      </w:pPr>
      <w:r>
        <w:t xml:space="preserve">В консервах из мяса птицы, пастеризованных колбасках, мясорастительных и растительно-мясных консервах, полуфабрикатах, паштетах и кулинарных изделиях не допускается содержание нитрозоаминов.</w:t>
      </w:r>
    </w:p>
    <w:p>
      <w:pPr>
        <w:pStyle w:val="BodyText"/>
      </w:pPr>
      <w:r>
        <w:t xml:space="preserve">За нарушения требований технических регламентов к административной отвественности может быть привлечен как изготовитель продукции, так и продавец, суммы штрафов по статье 14.43 КоАП РФ достигают миллиона рублей, а продукция, несоотвествующая требованиям безопасности подлежит конфискации.</w:t>
      </w:r>
    </w:p>
    <w:p>
      <w:pPr>
        <w:pStyle w:val="BodyText"/>
      </w:pPr>
      <w:r>
        <w:t xml:space="preserve">Территориальный отдел Управления Роспотребнадзора по г. Москве в СЗАО г. Москвы напоминает, что получить подробную консультацию по требованиям законодательства о техническом регулировании, защите прав потребителей и санитарно-эпидемиологических требованиях можно направив запрос на проведение профилактического визита по адресу: ул. Академика Курчатова д. 17 или по адресу электронной почты</w:t>
      </w:r>
      <w:r>
        <w:t xml:space="preserve"> </w:t>
      </w:r>
      <w:hyperlink r:id="rId22">
        <w:r>
          <w:rPr>
            <w:rStyle w:val="Hyperlink"/>
          </w:rPr>
          <w:t xml:space="preserve">szao@77.rospotrebnadzor.ru</w:t>
        </w:r>
      </w:hyperlink>
    </w:p>
    <w:p>
      <w:pPr>
        <w:pStyle w:val="BodyText"/>
      </w:pPr>
      <w:r>
        <w:t xml:space="preserve">Профилактика нарушений поможет избежать в дальнейшем привлечения к административной ответственности за нарушение обязательных требований, повысить профессиональный уровень предпринимателей, что приведет к минимизации возможных убытков и получению дополнительной прибыли.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http://tushino-juzhnoe.mos.ru/consumer-market-and-services/novost/detail/11481559.html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consumer-market-and-services/novost/detail/11481559.html" TargetMode="External" /><Relationship Type="http://schemas.openxmlformats.org/officeDocument/2006/relationships/hyperlink" Id="rId21" Target="https://www.consultant.ru/document/cons_doc_LAW_400538/327570cbe5b49802f0c760d045125e7f63a355b3/" TargetMode="External" /><Relationship Type="http://schemas.openxmlformats.org/officeDocument/2006/relationships/hyperlink" Id="rId20" Target="https://www.consultant.ru/document/cons_doc_LAW_440717/" TargetMode="External" /><Relationship Type="http://schemas.openxmlformats.org/officeDocument/2006/relationships/hyperlink" Id="rId22" Target="mailto:s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consumer-market-and-services/novost/detail/11481559.html" TargetMode="External" /><Relationship Type="http://schemas.openxmlformats.org/officeDocument/2006/relationships/hyperlink" Id="rId21" Target="https://www.consultant.ru/document/cons_doc_LAW_400538/327570cbe5b49802f0c760d045125e7f63a355b3/" TargetMode="External" /><Relationship Type="http://schemas.openxmlformats.org/officeDocument/2006/relationships/hyperlink" Id="rId20" Target="https://www.consultant.ru/document/cons_doc_LAW_440717/" TargetMode="External" /><Relationship Type="http://schemas.openxmlformats.org/officeDocument/2006/relationships/hyperlink" Id="rId22" Target="mailto:s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2025-07-24T11:36:24Z</dcterms:created>
  <dcterms:modified xsi:type="dcterms:W3CDTF">2025-07-24T11:36:24Z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