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ec287d3a78886c01fd10e0f8519fddeffc1ae6"/>
    <w:p>
      <w:pPr>
        <w:pStyle w:val="Heading3"/>
      </w:pPr>
      <w:r>
        <w:t xml:space="preserve">План мероприятий с 13.06.2022 по 19.06.2022 на территории района Южное Тушино города Москвы</w:t>
      </w:r>
    </w:p>
    <w:p>
      <w:pPr>
        <w:pStyle w:val="FirstParagraph"/>
      </w:pPr>
      <w:r>
        <w:t xml:space="preserve">23.06.2022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Районные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13.06.2022-19.06.2022</w:t>
            </w:r>
          </w:p>
        </w:tc>
        <w:tc>
          <w:tcPr/>
          <w:p>
            <w:pPr>
              <w:jc w:val="left"/>
            </w:pPr>
            <w:r>
              <w:t xml:space="preserve">Мероприятия на территории района Южное Тушино проводиться не будут.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http://tushino-juzhnoe.mos.ru/presscenter/news/detail/10886526.html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108865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108865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2023-08-08T15:37:00Z</dcterms:created>
  <dcterms:modified xsi:type="dcterms:W3CDTF">2023-08-08T15:37:00Z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