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182344ee0c66003512eb69a34a631b2b454b"/>
    <w:p>
      <w:pPr>
        <w:pStyle w:val="Heading3"/>
      </w:pPr>
      <w:r>
        <w:t xml:space="preserve">В августе 2016 года состоялась экскурсия в город Каширу</w:t>
      </w:r>
    </w:p>
    <w:p>
      <w:pPr>
        <w:pStyle w:val="FirstParagraph"/>
      </w:pPr>
      <w:r>
        <w:t xml:space="preserve">21.06.2018</w:t>
      </w:r>
    </w:p>
    <w:p>
      <w:pPr>
        <w:pStyle w:val="BodyText"/>
      </w:pPr>
      <w:r>
        <w:t xml:space="preserve">В августе 2016 года состоялась экскурсия в город Каширу. Общественные советники посетили Краеведческий музей, обзорную экскурсию по Кашире, Свято-Троицкий Белопесоцкий монастырь, музей – пекарню и на производство.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http://tushino-juzhnoe.mos.ru/public-advisors/meropriyatia-obshest-sovetnikov/detail/7405337.html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ublic-advisors/meropriyatia-obshest-sovetnikov/detail/74053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ublic-advisors/meropriyatia-obshest-sovetnikov/detail/74053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2025-07-17T21:56:58Z</dcterms:created>
  <dcterms:modified xsi:type="dcterms:W3CDTF">2025-07-17T21:56:58Z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