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32e67b029fd331d05578847c039821cf530ec"/>
    <w:p>
      <w:pPr>
        <w:pStyle w:val="Heading3"/>
      </w:pPr>
      <w:r>
        <w:t xml:space="preserve">Более 90% столичных отелей прошли обязательную классификацию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  <w:r>
        <w:rPr>
          <w:bCs/>
          <w:b/>
        </w:rPr>
        <w:t xml:space="preserve">Необходимость определить количество звёзд московских гостиниц вызвана приближающимся Чемпионатом мира по футболу. По данным Мосгорстата на сегодняшний день классифицированы уже 93% гостиниц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У нас получилось составить понятную, внятную картину средств размещения в городе. Мы чётко представляем сегодня количество отелей, имеющих 5, 4, 3 звезды. Здесь у нас полный порядок, – рассказал журналистам на пресс-конференции глава столичного Департамента национальной политики, межрегиональных связей и туризма Владимир Черников.</w:t>
      </w:r>
    </w:p>
    <w:p>
      <w:pPr>
        <w:pStyle w:val="BodyText"/>
      </w:pPr>
      <w:r>
        <w:t xml:space="preserve">Особое внимание при оценке гостиниц было обращено на повышение ответственности представителей систем бронирования. По словам Владимира Черникова, была достигнута договорённость о размещении информации о столичных гостиницах только с указанием присвоенной государственной категории «звёздности».</w:t>
      </w:r>
    </w:p>
    <w:p>
      <w:pPr>
        <w:pStyle w:val="BodyText"/>
      </w:pPr>
      <w:r>
        <w:t xml:space="preserve">Департамент настроен на решительные меры по отношению к отелям, игнорирующим прохождение классификации. Москва выступила с предложением увеличить размер штрафов в КоАП РФ за предоставление гостиничных услуг без свидетельства о присвоении категории в 12 раз.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http://tushino-juzhnoe.mos.ru/rubric/detail/3280755.html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280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280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2025-07-28T01:43:57Z</dcterms:created>
  <dcterms:modified xsi:type="dcterms:W3CDTF">2025-07-28T01:43:57Z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