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ba83bc7735a4d741d352b0adbeb41fbef327e"/>
    <w:p>
      <w:pPr>
        <w:pStyle w:val="Heading3"/>
      </w:pPr>
      <w:r>
        <w:t xml:space="preserve">Правила предоставления субсидий в 2021 году, утвержденные Постановлением Правительства от 28.10.2021 № 1849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fa0/2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http://tushino-juzhnoe.mos.ru/service-area/ifns-russia/detail/10372127.html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service-area/ifns-russia/detail/10372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service-area/ifns-russia/detail/10372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2023-08-08T15:40:13Z</dcterms:created>
  <dcterms:modified xsi:type="dcterms:W3CDTF">2023-08-08T15:40:13Z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