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99a7c380be017428c36f426a99ee0d1c3924e"/>
    <w:p>
      <w:pPr>
        <w:pStyle w:val="Heading3"/>
      </w:pPr>
      <w:r>
        <w:t xml:space="preserve">Правительство РФ уточнило условия предоставление субсидии МСП и СОНКО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2f2/0c2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http://tushino-juzhnoe.mos.ru/service-area/ifns-russia/detail/10372131.html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service-area/ifns-russia/detail/10372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service-area/ifns-russia/detail/10372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2023-08-09T00:54:21Z</dcterms:created>
  <dcterms:modified xsi:type="dcterms:W3CDTF">2023-08-09T00:54:21Z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