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a98c3eca6e643bc7efde55d183a166c9e505f2"/>
    <w:p>
      <w:pPr>
        <w:pStyle w:val="Heading3"/>
      </w:pPr>
      <w:r>
        <w:t xml:space="preserve">Памятка по правилам поведения при опасности утечки бытового газа</w:t>
      </w:r>
    </w:p>
    <w:p>
      <w:pPr>
        <w:pStyle w:val="FirstParagraph"/>
      </w:pPr>
      <w:r>
        <w:t xml:space="preserve">15.06.2018</w:t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273/pamyatka-bytovoy-gaz_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8168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90c/pamyatka-bytovoy-gaz_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http://tushino-juzhnoe.mos.ru/the-rule-of-law-security-legality/moe/memo/detail/7393154.html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ushino-juzhnoe.mos.ru" TargetMode="External" /><Relationship Type="http://schemas.openxmlformats.org/officeDocument/2006/relationships/hyperlink" Id="rId26" Target="http://tushino-juzhnoe.mos.ru/the-rule-of-law-security-legality/moe/memo/detail/7393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2024-11-25T19:53:56Z</dcterms:created>
  <dcterms:modified xsi:type="dcterms:W3CDTF">2024-11-25T19:53:56Z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