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2841b09ee289e60d3be48fec4a0866c27f6ed1"/>
    <w:p>
      <w:pPr>
        <w:pStyle w:val="Heading3"/>
      </w:pPr>
      <w:r>
        <w:t xml:space="preserve">Памятка по правилам поведения при опасности возникновения террористического акта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  <w:r>
        <w:drawing>
          <wp:inline>
            <wp:extent cx="5334000" cy="41816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6e6/pamyatka-pri-provedenii-terrakta_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1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816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265/pamyatka-pri-provedenii-terrakta_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1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http://tushino-juzhnoe.mos.ru/the-rule-of-law-security-legality/moe/memo/detail/7393203.html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the-rule-of-law-security-legality/moe/memo/detail/7393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the-rule-of-law-security-legality/moe/memo/detail/7393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2023-08-07T20:16:27Z</dcterms:created>
  <dcterms:modified xsi:type="dcterms:W3CDTF">2023-08-07T20:16:27Z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