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зопасность-газа-в-быту"/>
    <w:p>
      <w:pPr>
        <w:pStyle w:val="Heading3"/>
      </w:pPr>
      <w:r>
        <w:t xml:space="preserve">Безопасность газа в быту</w:t>
      </w:r>
    </w:p>
    <w:p>
      <w:pPr>
        <w:pStyle w:val="FirstParagraph"/>
      </w:pPr>
      <w:r>
        <w:t xml:space="preserve">18.10.2020</w:t>
      </w:r>
    </w:p>
    <w:p>
      <w:pPr>
        <w:pStyle w:val="BodyText"/>
      </w:pPr>
      <w:r>
        <w:drawing>
          <wp:inline>
            <wp:extent cx="5334000" cy="37556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aed/7c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http://tushino-juzhnoe.mos.ru/the-rule-of-law-security-legality/moe/memo/detail/9333605.html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9333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the-rule-of-law-security-legality/moe/memo/detail/9333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2023-09-15T22:46:54Z</dcterms:created>
  <dcterms:modified xsi:type="dcterms:W3CDTF">2023-09-15T22:46:54Z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